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BABAB" w14:textId="77777777" w:rsidR="007C4B51" w:rsidRDefault="00923D4C">
      <w:pPr>
        <w:spacing w:line="360" w:lineRule="auto"/>
        <w:rPr>
          <w:rFonts w:ascii="Times New Roman" w:eastAsia="楷体" w:hAnsi="Times New Roman" w:cs="Times New Roman"/>
          <w:sz w:val="24"/>
          <w:szCs w:val="24"/>
        </w:rPr>
      </w:pPr>
      <w:r>
        <w:rPr>
          <w:rFonts w:ascii="Times New Roman" w:eastAsia="楷体" w:hAnsi="Times New Roman" w:cs="Times New Roman" w:hint="eastAsia"/>
          <w:sz w:val="24"/>
          <w:szCs w:val="24"/>
        </w:rPr>
        <w:t>Mycoplasma detection</w:t>
      </w:r>
    </w:p>
    <w:p w14:paraId="63359EBA" w14:textId="77777777" w:rsidR="007C4B51" w:rsidRDefault="00923D4C">
      <w:pPr>
        <w:spacing w:line="360" w:lineRule="auto"/>
        <w:ind w:firstLineChars="200" w:firstLine="480"/>
        <w:rPr>
          <w:rFonts w:ascii="Times New Roman" w:eastAsia="楷体" w:hAnsi="Times New Roman" w:cs="Times New Roman"/>
          <w:sz w:val="24"/>
          <w:szCs w:val="24"/>
        </w:rPr>
      </w:pPr>
      <w:r>
        <w:rPr>
          <w:rFonts w:ascii="Times New Roman" w:eastAsia="楷体" w:hAnsi="Times New Roman" w:cs="Times New Roman" w:hint="eastAsia"/>
          <w:sz w:val="24"/>
          <w:szCs w:val="24"/>
        </w:rPr>
        <w:t xml:space="preserve">Mycoplasma contamination in BEAS-2B cells was examined using a </w:t>
      </w:r>
      <w:r>
        <w:rPr>
          <w:rFonts w:ascii="Times New Roman" w:eastAsia="楷体" w:hAnsi="Times New Roman" w:cs="Times New Roman"/>
          <w:sz w:val="24"/>
          <w:szCs w:val="24"/>
        </w:rPr>
        <w:t xml:space="preserve">Mycoplasma PCR Detection Kit (C0301S; Beyotime Biotechnology, Shanghai, China). Culture supernatants collected after 5 days of cell incubation were used as test </w:t>
      </w:r>
      <w:r>
        <w:rPr>
          <w:rFonts w:ascii="Times New Roman" w:eastAsia="楷体" w:hAnsi="Times New Roman" w:cs="Times New Roman"/>
          <w:sz w:val="24"/>
          <w:szCs w:val="24"/>
        </w:rPr>
        <w:t>samples. Two rounds of nested PCR were performed according to the manufacturer’s instructions. In the first round, cell culture supernatant or the positive control template served as the template, and the reaction mixture was prepared using the 1st PCR Pri</w:t>
      </w:r>
      <w:r>
        <w:rPr>
          <w:rFonts w:ascii="Times New Roman" w:eastAsia="楷体" w:hAnsi="Times New Roman" w:cs="Times New Roman"/>
          <w:sz w:val="24"/>
          <w:szCs w:val="24"/>
        </w:rPr>
        <w:t>mer Mix and 2× PCR Master Mix. Amplification was carried out for 30 cycles under the following conditions: denaturation at 94 °C, annealing at 55 °C, and extension at 72 °C. In the second round, the first-round PCR products were used as templates and furth</w:t>
      </w:r>
      <w:r>
        <w:rPr>
          <w:rFonts w:ascii="Times New Roman" w:eastAsia="楷体" w:hAnsi="Times New Roman" w:cs="Times New Roman"/>
          <w:sz w:val="24"/>
          <w:szCs w:val="24"/>
        </w:rPr>
        <w:t>er amplified with the 2nd PCR Primer Mix under conditions essentially identical to those of the first round. After PCR amplification, products from both the first and second rounds were analyzed by 2% agarose gel electrophoresis. The presence of mycoplasma</w:t>
      </w:r>
      <w:r>
        <w:rPr>
          <w:rFonts w:ascii="Times New Roman" w:eastAsia="楷体" w:hAnsi="Times New Roman" w:cs="Times New Roman"/>
          <w:sz w:val="24"/>
          <w:szCs w:val="24"/>
        </w:rPr>
        <w:t xml:space="preserve"> contamination was determined based on the appearance of specific amplification bands and their expected sizes. Positive and negative controls were included in each assay to verify the reliability of the PCR system and to exclude the presence of PCR inhibi</w:t>
      </w:r>
      <w:r>
        <w:rPr>
          <w:rFonts w:ascii="Times New Roman" w:eastAsia="楷体" w:hAnsi="Times New Roman" w:cs="Times New Roman"/>
          <w:sz w:val="24"/>
          <w:szCs w:val="24"/>
        </w:rPr>
        <w:t>tors in the samples.</w:t>
      </w:r>
    </w:p>
    <w:p w14:paraId="1B173D15" w14:textId="77777777" w:rsidR="007C4B51" w:rsidRDefault="00923D4C">
      <w:pPr>
        <w:spacing w:line="360" w:lineRule="auto"/>
        <w:jc w:val="center"/>
        <w:rPr>
          <w:rFonts w:ascii="Times New Roman" w:eastAsia="楷体" w:hAnsi="Times New Roman" w:cs="Times New Roman"/>
          <w:sz w:val="24"/>
          <w:szCs w:val="24"/>
        </w:rPr>
      </w:pPr>
      <w:r>
        <w:rPr>
          <w:rFonts w:ascii="Times New Roman" w:eastAsia="楷体" w:hAnsi="Times New Roman" w:cs="Times New Roman"/>
          <w:noProof/>
          <w:sz w:val="24"/>
          <w:szCs w:val="24"/>
        </w:rPr>
        <w:drawing>
          <wp:inline distT="0" distB="0" distL="0" distR="0" wp14:anchorId="3E6F8805" wp14:editId="57C1F0F2">
            <wp:extent cx="3096895" cy="1398270"/>
            <wp:effectExtent l="0" t="0" r="8255" b="0"/>
            <wp:docPr id="78600987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009871"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3121721" cy="1410035"/>
                    </a:xfrm>
                    <a:prstGeom prst="rect">
                      <a:avLst/>
                    </a:prstGeom>
                  </pic:spPr>
                </pic:pic>
              </a:graphicData>
            </a:graphic>
          </wp:inline>
        </w:drawing>
      </w:r>
    </w:p>
    <w:p w14:paraId="658F1D9A" w14:textId="59C54D69" w:rsidR="007C4B51" w:rsidRDefault="00923D4C">
      <w:pPr>
        <w:spacing w:line="360" w:lineRule="auto"/>
        <w:rPr>
          <w:rFonts w:ascii="Times New Roman" w:eastAsia="楷体" w:hAnsi="Times New Roman" w:cs="Times New Roman"/>
          <w:sz w:val="24"/>
          <w:szCs w:val="24"/>
        </w:rPr>
      </w:pPr>
      <w:r>
        <w:rPr>
          <w:rFonts w:ascii="Times New Roman" w:eastAsia="楷体" w:hAnsi="Times New Roman" w:cs="Times New Roman" w:hint="eastAsia"/>
          <w:b/>
          <w:bCs/>
          <w:sz w:val="24"/>
          <w:szCs w:val="24"/>
        </w:rPr>
        <w:t xml:space="preserve">Supplementary </w:t>
      </w:r>
      <w:r w:rsidR="00C71117" w:rsidRPr="00C71117">
        <w:rPr>
          <w:rFonts w:ascii="Times New Roman" w:eastAsia="楷体" w:hAnsi="Times New Roman" w:cs="Times New Roman"/>
          <w:b/>
          <w:bCs/>
          <w:sz w:val="24"/>
          <w:szCs w:val="24"/>
        </w:rPr>
        <w:t>Fig. 1.</w:t>
      </w:r>
      <w:r w:rsidR="00C71117">
        <w:rPr>
          <w:rFonts w:ascii="Times New Roman" w:eastAsia="楷体" w:hAnsi="Times New Roman" w:cs="Times New Roman"/>
          <w:b/>
          <w:bCs/>
          <w:sz w:val="24"/>
          <w:szCs w:val="24"/>
        </w:rPr>
        <w:t xml:space="preserve"> </w:t>
      </w:r>
      <w:r>
        <w:rPr>
          <w:rFonts w:ascii="Times New Roman" w:eastAsia="楷体" w:hAnsi="Times New Roman" w:cs="Times New Roman" w:hint="eastAsia"/>
          <w:sz w:val="24"/>
          <w:szCs w:val="24"/>
        </w:rPr>
        <w:t>Schematic representation of agarose gel electrophoresis of PCR products generated using the Mycoplasma PCR Detection Kit. Lane 1 shows the 1st PCR products, and lane 2 shows the corresponding 2nd PCR products.</w:t>
      </w:r>
      <w:r>
        <w:rPr>
          <w:rFonts w:ascii="Times New Roman" w:eastAsia="楷体" w:hAnsi="Times New Roman" w:cs="Times New Roman" w:hint="eastAsia"/>
          <w:sz w:val="24"/>
          <w:szCs w:val="24"/>
        </w:rPr>
        <w:t xml:space="preserve"> Templates loaded in each lane were as follows: M, DNA marker; W1 and W2, ultrapure water; C1 and C2, control template; S1 and S2, BEAS-2B cell culture supernatant. The control template was an artificially synthesized DNA fragment. The expected sizes of th</w:t>
      </w:r>
      <w:r>
        <w:rPr>
          <w:rFonts w:ascii="Times New Roman" w:eastAsia="楷体" w:hAnsi="Times New Roman" w:cs="Times New Roman" w:hint="eastAsia"/>
          <w:sz w:val="24"/>
          <w:szCs w:val="24"/>
        </w:rPr>
        <w:t>e amplification products were 810 bp for the 1st PCR and 590 bp for the 2nd PCR.</w:t>
      </w:r>
    </w:p>
    <w:sectPr w:rsidR="007C4B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C09F8" w14:textId="77777777" w:rsidR="00923D4C" w:rsidRDefault="00923D4C" w:rsidP="00C71117">
      <w:r>
        <w:separator/>
      </w:r>
    </w:p>
  </w:endnote>
  <w:endnote w:type="continuationSeparator" w:id="0">
    <w:p w14:paraId="354F11FF" w14:textId="77777777" w:rsidR="00923D4C" w:rsidRDefault="00923D4C" w:rsidP="00C71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AFFD9" w14:textId="77777777" w:rsidR="00923D4C" w:rsidRDefault="00923D4C" w:rsidP="00C71117">
      <w:r>
        <w:separator/>
      </w:r>
    </w:p>
  </w:footnote>
  <w:footnote w:type="continuationSeparator" w:id="0">
    <w:p w14:paraId="52C4DA25" w14:textId="77777777" w:rsidR="00923D4C" w:rsidRDefault="00923D4C" w:rsidP="00C711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D03"/>
    <w:rsid w:val="001D4624"/>
    <w:rsid w:val="005B448D"/>
    <w:rsid w:val="006A26DF"/>
    <w:rsid w:val="007C4B51"/>
    <w:rsid w:val="00902E5E"/>
    <w:rsid w:val="00911C30"/>
    <w:rsid w:val="00923D4C"/>
    <w:rsid w:val="009B5810"/>
    <w:rsid w:val="00A67D03"/>
    <w:rsid w:val="00C71117"/>
    <w:rsid w:val="00E30555"/>
    <w:rsid w:val="00EE748B"/>
    <w:rsid w:val="2A972847"/>
    <w:rsid w:val="48CE11C6"/>
    <w:rsid w:val="4E411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7CDFF5"/>
  <w15:docId w15:val="{0F913C7D-703C-46BA-B03C-0B1439A91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styleId="ab">
    <w:name w:val="Strong"/>
    <w:basedOn w:val="a0"/>
    <w:uiPriority w:val="22"/>
    <w:qFormat/>
    <w:rPr>
      <w:b/>
    </w:rPr>
  </w:style>
  <w:style w:type="character" w:customStyle="1" w:styleId="10">
    <w:name w:val="标题 1 字符"/>
    <w:basedOn w:val="a0"/>
    <w:link w:val="1"/>
    <w:uiPriority w:val="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Pr>
      <w:rFonts w:cstheme="majorBidi"/>
      <w:color w:val="2F5496" w:themeColor="accent1" w:themeShade="BF"/>
      <w:sz w:val="28"/>
      <w:szCs w:val="28"/>
    </w:rPr>
  </w:style>
  <w:style w:type="character" w:customStyle="1" w:styleId="50">
    <w:name w:val="标题 5 字符"/>
    <w:basedOn w:val="a0"/>
    <w:link w:val="5"/>
    <w:uiPriority w:val="9"/>
    <w:semiHidden/>
    <w:rPr>
      <w:rFonts w:cstheme="majorBidi"/>
      <w:color w:val="2F5496" w:themeColor="accent1" w:themeShade="BF"/>
      <w:sz w:val="24"/>
      <w:szCs w:val="24"/>
    </w:rPr>
  </w:style>
  <w:style w:type="character" w:customStyle="1" w:styleId="60">
    <w:name w:val="标题 6 字符"/>
    <w:basedOn w:val="a0"/>
    <w:link w:val="6"/>
    <w:uiPriority w:val="9"/>
    <w:semiHidden/>
    <w:rPr>
      <w:rFonts w:cstheme="majorBidi"/>
      <w:b/>
      <w:bCs/>
      <w:color w:val="2F5496"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a">
    <w:name w:val="标题 字符"/>
    <w:basedOn w:val="a0"/>
    <w:link w:val="a9"/>
    <w:uiPriority w:val="10"/>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pPr>
      <w:spacing w:before="160" w:after="160"/>
      <w:jc w:val="center"/>
    </w:pPr>
    <w:rPr>
      <w:i/>
      <w:iCs/>
      <w:color w:val="404040" w:themeColor="text1" w:themeTint="BF"/>
    </w:rPr>
  </w:style>
  <w:style w:type="character" w:customStyle="1" w:styleId="ad">
    <w:name w:val="引用 字符"/>
    <w:basedOn w:val="a0"/>
    <w:link w:val="ac"/>
    <w:uiPriority w:val="29"/>
    <w:rPr>
      <w:i/>
      <w:iCs/>
      <w:color w:val="404040" w:themeColor="text1" w:themeTint="BF"/>
    </w:rPr>
  </w:style>
  <w:style w:type="paragraph" w:styleId="ae">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f">
    <w:name w:val="Intense Quote"/>
    <w:basedOn w:val="a"/>
    <w:next w:val="a"/>
    <w:link w:val="af0"/>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0">
    <w:name w:val="明显引用 字符"/>
    <w:basedOn w:val="a0"/>
    <w:link w:val="af"/>
    <w:uiPriority w:val="30"/>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277</Words>
  <Characters>1583</Characters>
  <Application>Microsoft Office Word</Application>
  <DocSecurity>0</DocSecurity>
  <Lines>13</Lines>
  <Paragraphs>3</Paragraphs>
  <ScaleCrop>false</ScaleCrop>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editor</cp:lastModifiedBy>
  <cp:revision>9</cp:revision>
  <dcterms:created xsi:type="dcterms:W3CDTF">2026-01-21T01:45:00Z</dcterms:created>
  <dcterms:modified xsi:type="dcterms:W3CDTF">2026-06-05T02:23:00Z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eyJoZGlkIjoiMzhjNGQ5NzI3MGRkMWEzOTFkMDEwMDYwNTAxZmU0ZjYiLCJ1c2VySWQiOiIyMTI4ODM0OTQifQ==</vt:lpwstr>
  </property>
  <property fmtid="{D5CDD505-2E9C-101B-9397-08002B2CF9AE}" pid="3" name="KSOProductBuildVer">
    <vt:lpwstr>2052-12.1.0.23125</vt:lpwstr>
  </property>
  <property fmtid="{D5CDD505-2E9C-101B-9397-08002B2CF9AE}" pid="4" name="ICV">
    <vt:lpwstr>17ADD474593D4443B24B72AEB84CFE68_12</vt:lpwstr>
  </property>
</Properties>
</file>